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Standard"/>
        <w:jc w:val="center"/>
        <w:rPr/>
      </w:pPr>
      <w:r>
        <w:rPr>
          <w:rFonts w:cs="Times New Roman" w:ascii="Marianne" w:hAnsi="Marianne"/>
          <w:b/>
          <w:color w:val="000091"/>
        </w:rPr>
        <w:t>ANNEXE 1 – Objectifs des projets déposés à l’AAP relatif au CTAI de Caen la mer</w:t>
      </w:r>
      <w:r>
        <w:rPr>
          <w:rFonts w:ascii="Marianne" w:hAnsi="Marianne"/>
          <w:b/>
          <w:color w:val="000091"/>
        </w:rPr>
        <w:t xml:space="preserve"> </w:t>
      </w:r>
    </w:p>
    <w:p>
      <w:pPr>
        <w:pStyle w:val="Standard"/>
        <w:jc w:val="center"/>
        <w:rPr>
          <w:rFonts w:ascii="Marianne" w:hAnsi="Marianne"/>
          <w:b/>
          <w:b/>
          <w:color w:val="000091"/>
        </w:rPr>
      </w:pPr>
      <w:r>
        <w:rPr>
          <w:rFonts w:ascii="Marianne" w:hAnsi="Marianne"/>
          <w:b/>
          <w:color w:val="000091"/>
        </w:rPr>
      </w:r>
    </w:p>
    <w:p>
      <w:pPr>
        <w:pStyle w:val="Standard"/>
        <w:rPr>
          <w:rFonts w:ascii="Marianne" w:hAnsi="Marianne"/>
        </w:rPr>
      </w:pPr>
      <w:r>
        <w:rPr>
          <w:rFonts w:ascii="Marianne" w:hAnsi="Marianne"/>
        </w:rPr>
      </w:r>
    </w:p>
    <w:tbl>
      <w:tblPr>
        <w:tblW w:w="799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7995"/>
      </w:tblGrid>
      <w:tr>
        <w:trPr/>
        <w:tc>
          <w:tcPr>
            <w:tcW w:w="7995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  <w:right w:val="single" w:sz="4" w:space="0" w:color="000091"/>
            </w:tcBorders>
          </w:tcPr>
          <w:p>
            <w:pPr>
              <w:pStyle w:val="Standard"/>
              <w:widowControl w:val="false"/>
              <w:spacing w:before="63" w:after="0"/>
              <w:jc w:val="center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NOTICE</w:t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Les candidats devront joindre à leur dossier la présente fiche dûment renseignée, et ce pour chaque projet déposé.</w:t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Les points 1 et 2 doivent être obligatoirement complétés. Le point 3 doit être renseigné en fonction de la ou les thématiques de l’action proposée.</w:t>
            </w:r>
          </w:p>
        </w:tc>
      </w:tr>
    </w:tbl>
    <w:p>
      <w:pPr>
        <w:pStyle w:val="Standard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Standard"/>
        <w:jc w:val="center"/>
        <w:rPr>
          <w:rFonts w:ascii="Marianne" w:hAnsi="Marianne"/>
          <w:b/>
          <w:b/>
          <w:color w:val="000091"/>
        </w:rPr>
      </w:pPr>
      <w:r>
        <w:rPr>
          <w:rFonts w:ascii="Marianne" w:hAnsi="Marianne"/>
          <w:b/>
          <w:color w:val="000091"/>
        </w:rPr>
      </w:r>
    </w:p>
    <w:p>
      <w:pPr>
        <w:pStyle w:val="Standard"/>
        <w:keepNext w:val="true"/>
        <w:keepLines/>
        <w:spacing w:before="120" w:after="240"/>
        <w:ind w:left="284" w:hanging="284"/>
        <w:jc w:val="both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 xml:space="preserve">1. Objectifs relatifs au public-cible pour les actions à destination des publics éligibles </w:t>
      </w:r>
      <w:r>
        <w:rPr>
          <w:rFonts w:eastAsia="Calibri" w:cs="Tahoma" w:ascii="Marianne" w:hAnsi="Marianne"/>
          <w:b/>
          <w:color w:val="C9211E"/>
          <w:szCs w:val="20"/>
        </w:rPr>
        <w:t>(obligatoires pour toutes les actions)</w:t>
      </w:r>
    </w:p>
    <w:tbl>
      <w:tblPr>
        <w:tblW w:w="9630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4010"/>
        <w:gridCol w:w="5619"/>
      </w:tblGrid>
      <w:tr>
        <w:trPr/>
        <w:tc>
          <w:tcPr>
            <w:tcW w:w="401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56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Objectif</w:t>
            </w:r>
          </w:p>
        </w:tc>
      </w:tr>
      <w:tr>
        <w:trPr/>
        <w:tc>
          <w:tcPr>
            <w:tcW w:w="401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total d’étrangers éligibles bénéficiaires de l’action</w:t>
            </w:r>
          </w:p>
        </w:tc>
        <w:tc>
          <w:tcPr>
            <w:tcW w:w="56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rFonts w:ascii="Marianne" w:hAnsi="Marianne" w:eastAsia="Calibri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color w:val="000000"/>
                <w:kern w:val="0"/>
                <w:sz w:val="20"/>
                <w:szCs w:val="20"/>
                <w:lang w:eastAsia="en-US" w:bidi="ar-SA"/>
              </w:rPr>
              <w:t>Indiquer la valeur-cible d’étrangers éligibles (dont BPI) bénéficiaires de l’action</w:t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keepNext w:val="true"/>
        <w:keepLines/>
        <w:numPr>
          <w:ilvl w:val="0"/>
          <w:numId w:val="8"/>
        </w:numPr>
        <w:spacing w:before="120" w:after="240"/>
        <w:ind w:left="284" w:hanging="284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 xml:space="preserve">Budget prévisionnel </w:t>
      </w:r>
      <w:r>
        <w:rPr>
          <w:rFonts w:eastAsia="Calibri" w:cs="Tahoma" w:ascii="Marianne" w:hAnsi="Marianne"/>
          <w:b/>
          <w:color w:val="C9211E"/>
          <w:szCs w:val="20"/>
        </w:rPr>
        <w:t>(obligatoires pour toutes les actions)</w:t>
      </w:r>
    </w:p>
    <w:tbl>
      <w:tblPr>
        <w:tblW w:w="45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5725"/>
        <w:gridCol w:w="2948"/>
      </w:tblGrid>
      <w:tr>
        <w:trPr/>
        <w:tc>
          <w:tcPr>
            <w:tcW w:w="572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Budget prévisionnel</w:t>
            </w:r>
          </w:p>
        </w:tc>
      </w:tr>
      <w:tr>
        <w:trPr/>
        <w:tc>
          <w:tcPr>
            <w:tcW w:w="572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Coût total de l’action</w:t>
            </w:r>
          </w:p>
        </w:tc>
        <w:tc>
          <w:tcPr>
            <w:tcW w:w="294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72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Dont montant de la subvention « CTAI »</w:t>
            </w:r>
          </w:p>
        </w:tc>
        <w:tc>
          <w:tcPr>
            <w:tcW w:w="294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keepNext w:val="true"/>
        <w:keepLines/>
        <w:spacing w:before="0" w:after="69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</w:r>
    </w:p>
    <w:p>
      <w:pPr>
        <w:pStyle w:val="Standard"/>
        <w:numPr>
          <w:ilvl w:val="0"/>
          <w:numId w:val="9"/>
        </w:numPr>
        <w:spacing w:before="120" w:after="240"/>
        <w:ind w:left="284" w:hanging="284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>Objectifs thématiques en fonction des actions</w:t>
      </w:r>
    </w:p>
    <w:p>
      <w:pPr>
        <w:pStyle w:val="Standard"/>
        <w:spacing w:before="120" w:after="240"/>
        <w:jc w:val="both"/>
        <w:rPr>
          <w:color w:val="C9211E"/>
          <w:sz w:val="22"/>
          <w:szCs w:val="22"/>
        </w:rPr>
      </w:pPr>
      <w:r>
        <w:rPr>
          <w:rFonts w:eastAsia="Calibri" w:cs="Tahoma" w:ascii="Marianne" w:hAnsi="Marianne"/>
          <w:b/>
          <w:color w:val="C9211E"/>
          <w:sz w:val="22"/>
          <w:szCs w:val="22"/>
        </w:rPr>
        <w:t>Tous les tableaux d’une thématique doivent être complétés si l’action couvre l’un ou plusieurs champs ci-dessous (par exemple, s’il s’agit d’un atelier sociolinguistique à visée professionnelle, tous les tableaux du 3.1. doivent être renseignés).</w:t>
      </w:r>
    </w:p>
    <w:p>
      <w:pPr>
        <w:pStyle w:val="Standard"/>
        <w:numPr>
          <w:ilvl w:val="1"/>
          <w:numId w:val="10"/>
        </w:numPr>
        <w:spacing w:before="6" w:after="126"/>
        <w:ind w:left="624" w:hanging="0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0"/>
        </w:rPr>
        <w:t>Apprentissage du français (y compris à visée professionnelle)</w:t>
      </w:r>
    </w:p>
    <w:p>
      <w:pPr>
        <w:pStyle w:val="Standard"/>
        <w:ind w:left="624" w:hanging="0"/>
        <w:rPr>
          <w:szCs w:val="20"/>
        </w:rPr>
      </w:pPr>
      <w:r>
        <w:rPr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60"/>
        <w:gridCol w:w="3277"/>
      </w:tblGrid>
      <w:tr>
        <w:trPr/>
        <w:tc>
          <w:tcPr>
            <w:tcW w:w="636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36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formation dispensées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 heures de formation pour 12 participants = 6)</w:t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360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Coût horaire unitaire</w:t>
            </w:r>
          </w:p>
          <w:p>
            <w:pPr>
              <w:pStyle w:val="Standard"/>
              <w:widowControl w:val="false"/>
              <w:rPr>
                <w:rFonts w:ascii="Marianne" w:hAnsi="Marianne"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3277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60"/>
        <w:gridCol w:w="3277"/>
      </w:tblGrid>
      <w:tr>
        <w:trPr/>
        <w:tc>
          <w:tcPr>
            <w:tcW w:w="636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36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assidus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(nombre de participants dont le taux de présence aux séances de formation dispensées est égal ou supérieur à 80 % du nombre d’heures prévues dans leur parcours individuel de formation)</w:t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15"/>
        <w:gridCol w:w="3223"/>
      </w:tblGrid>
      <w:tr>
        <w:trPr/>
        <w:tc>
          <w:tcPr>
            <w:tcW w:w="641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32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41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ayant progressé d’au moins un niveau du Cadre européen commun de référence pour les langues (CECRL) entre le début et la fin de la formation</w:t>
            </w:r>
          </w:p>
        </w:tc>
        <w:tc>
          <w:tcPr>
            <w:tcW w:w="32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41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participants ayant passé une certification à l’issue de la formation</w:t>
            </w:r>
          </w:p>
        </w:tc>
        <w:tc>
          <w:tcPr>
            <w:tcW w:w="3223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16"/>
        <w:gridCol w:w="3221"/>
      </w:tblGrid>
      <w:tr>
        <w:trPr/>
        <w:tc>
          <w:tcPr>
            <w:tcW w:w="6416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322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416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hébergés ou en situation de rue orientés vers un dispositif local d’accompagnement portant sur l’accès à un logement</w:t>
            </w:r>
          </w:p>
          <w:p>
            <w:pPr>
              <w:pStyle w:val="Standard"/>
              <w:widowControl w:val="false"/>
              <w:jc w:val="both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Ces dispositifs peuvent être : l’Accompagnement vers dans et le logement spécifique BPI ou « classique » (AVDL-BPI ou AVDL), l’Accompagnement social lié au logement (ASLL), le programme AGIR ou encore la plateforme FAIR.</w:t>
            </w:r>
          </w:p>
        </w:tc>
        <w:tc>
          <w:tcPr>
            <w:tcW w:w="3221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416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participants hébergés ou en situation de rue orientés vers un dispositif d’accès au logement / nombre de participants hébergés ou en situation de rue</w:t>
            </w:r>
          </w:p>
        </w:tc>
        <w:tc>
          <w:tcPr>
            <w:tcW w:w="3221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numPr>
          <w:ilvl w:val="1"/>
          <w:numId w:val="11"/>
        </w:numPr>
        <w:spacing w:before="6" w:after="126"/>
        <w:ind w:left="624" w:hanging="0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0"/>
        </w:rPr>
        <w:t>Accompagnement vers l’emploi</w:t>
      </w:r>
    </w:p>
    <w:p>
      <w:pPr>
        <w:pStyle w:val="Standard"/>
        <w:spacing w:before="0" w:after="12"/>
        <w:ind w:left="624" w:hanging="0"/>
        <w:rPr>
          <w:szCs w:val="20"/>
        </w:rPr>
      </w:pPr>
      <w:r>
        <w:rPr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40"/>
        <w:gridCol w:w="3197"/>
      </w:tblGrid>
      <w:tr>
        <w:trPr/>
        <w:tc>
          <w:tcPr>
            <w:tcW w:w="644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>
          <w:trHeight w:val="770" w:hRule="atLeast"/>
        </w:trPr>
        <w:tc>
          <w:tcPr>
            <w:tcW w:w="64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cs="Calibri"/>
              </w:rPr>
            </w:pPr>
            <w:r>
              <w:rPr>
                <w:rFonts w:eastAsia="Calibri" w:cs="Calibri" w:ascii="Marianne" w:hAnsi="Marianne"/>
                <w:b/>
                <w:bCs/>
                <w:kern w:val="0"/>
                <w:sz w:val="20"/>
                <w:szCs w:val="20"/>
                <w:lang w:eastAsia="en-US" w:bidi="ar-SA"/>
              </w:rPr>
              <w:t>Durée moyenne du parcours d'accompagnement vers l'emploi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(exprimée en mois entre l'inscription du bénéficiaire dans le parcours et sa sortie)</w:t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40"/>
        <w:gridCol w:w="3197"/>
      </w:tblGrid>
      <w:tr>
        <w:trPr/>
        <w:tc>
          <w:tcPr>
            <w:tcW w:w="644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4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bénéficiaires en sortie positive à l’issue du parcours d’accompagnement vers l’emploi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20"/>
                <w:lang w:eastAsia="en-US" w:bidi="ar-SA"/>
              </w:rPr>
              <w:t>(est considérée comme une sortie positive une sortie en emploi quels qu'en soient la nature et le type ainsi qu'en formation pré</w:t>
              <w:noBreakHyphen/>
              <w:t>qualifiante / qualifiante / certifiante ou diplômante)</w:t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nombre de bénéficiaires en formation professionnelle</w:t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Dont nombre de bénéficiaires en emploi durable à l’issue du parcours </w:t>
              <w:br/>
              <w:t>(un emploi durable correspond à tout contrat de plus de 6 mois quels qu’en soit la nature et le type)</w:t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cs="Tahoma"/>
                <w:sz w:val="18"/>
                <w:szCs w:val="18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Dont nombre de bénéficiaires en sortie positive </w:t>
            </w:r>
            <w:r>
              <w:rPr>
                <w:rFonts w:eastAsia="Calibri" w:cs="Tahoma" w:ascii="Marianne" w:hAnsi="Marianne"/>
                <w:kern w:val="0"/>
                <w:sz w:val="18"/>
                <w:szCs w:val="18"/>
                <w:u w:val="single"/>
                <w:lang w:eastAsia="en-US" w:bidi="ar-SA"/>
              </w:rPr>
              <w:t>6 mois</w:t>
            </w: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 après leur sortie de parcours (si ce suivi à 6 mois n’est pas réalisé, merci de le préciser)</w:t>
            </w:r>
          </w:p>
        </w:tc>
        <w:tc>
          <w:tcPr>
            <w:tcW w:w="31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64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05"/>
        <w:gridCol w:w="3240"/>
      </w:tblGrid>
      <w:tr>
        <w:trPr/>
        <w:tc>
          <w:tcPr>
            <w:tcW w:w="640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>
          <w:trHeight w:val="539" w:hRule="atLeast"/>
        </w:trPr>
        <w:tc>
          <w:tcPr>
            <w:tcW w:w="640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binômes constitués en cas de mentorat / parrainage (le cas échéant)</w:t>
            </w:r>
          </w:p>
        </w:tc>
        <w:tc>
          <w:tcPr>
            <w:tcW w:w="32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64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05"/>
        <w:gridCol w:w="3239"/>
      </w:tblGrid>
      <w:tr>
        <w:trPr/>
        <w:tc>
          <w:tcPr>
            <w:tcW w:w="640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32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40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bénéficiaires hébergés ou en situation de rue orientés vers un dispositif local d’accompagnement portant sur l’accès à un logement</w:t>
            </w:r>
          </w:p>
          <w:p>
            <w:pPr>
              <w:pStyle w:val="Standard"/>
              <w:widowControl w:val="false"/>
              <w:jc w:val="both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Ces dispositifs peuvent être : l’Accompagnement vers dans et le logement spécifique BPI ou « classique » (AVDL-BPI ou AVDL), l’Accompagnement social lié au logement (ASLL), le programme AGIR ou encore la plateforme FAIR.</w:t>
            </w:r>
          </w:p>
        </w:tc>
        <w:tc>
          <w:tcPr>
            <w:tcW w:w="3239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40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bénéficiaires hébergés ou en situation de rue orientés vers un dispositif d’accès au logement / nombre de bénéficiaires hébergés ou en situation de rue</w:t>
            </w:r>
          </w:p>
        </w:tc>
        <w:tc>
          <w:tcPr>
            <w:tcW w:w="3239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keepNext w:val="true"/>
        <w:keepLines/>
        <w:numPr>
          <w:ilvl w:val="1"/>
          <w:numId w:val="12"/>
        </w:numPr>
        <w:spacing w:before="120" w:after="240"/>
        <w:ind w:left="1021" w:hanging="454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2"/>
        </w:rPr>
        <w:t>Appropriation des principes de la République et des usages de la société française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Laïcité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Égalité femmes-hommes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Citoyenneté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Parentalité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Liens avec la société d’accueil (parrainage, mentorat…)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color w:val="000000"/>
          <w:sz w:val="20"/>
          <w:szCs w:val="20"/>
          <w:lang w:val="en-US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Autres (préciser) :</w:t>
      </w:r>
    </w:p>
    <w:tbl>
      <w:tblPr>
        <w:tblW w:w="964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05"/>
        <w:gridCol w:w="3239"/>
      </w:tblGrid>
      <w:tr>
        <w:trPr/>
        <w:tc>
          <w:tcPr>
            <w:tcW w:w="640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40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formation dispensées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32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40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Coût horaire unitaire</w:t>
            </w:r>
          </w:p>
          <w:p>
            <w:pPr>
              <w:pStyle w:val="Standard"/>
              <w:widowControl w:val="false"/>
              <w:rPr>
                <w:rFonts w:ascii="Marianne" w:hAnsi="Marianne"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3239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Description des outils et méthodes utilisés pour l’appropriation des principes de la République et les usages de la société française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495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44"/>
        <w:gridCol w:w="3196"/>
      </w:tblGrid>
      <w:tr>
        <w:trPr/>
        <w:tc>
          <w:tcPr>
            <w:tcW w:w="6344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319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>
          <w:trHeight w:val="539" w:hRule="atLeast"/>
        </w:trPr>
        <w:tc>
          <w:tcPr>
            <w:tcW w:w="634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binômes constitués (parrainage, mentorat), le cas échéant</w:t>
            </w:r>
          </w:p>
        </w:tc>
        <w:tc>
          <w:tcPr>
            <w:tcW w:w="319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numPr>
          <w:ilvl w:val="1"/>
          <w:numId w:val="13"/>
        </w:numPr>
        <w:spacing w:before="120" w:after="240"/>
        <w:ind w:left="1021" w:hanging="454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2"/>
        </w:rPr>
        <w:t>Action en faveur de la mobilité</w:t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60"/>
        <w:gridCol w:w="3277"/>
      </w:tblGrid>
      <w:tr>
        <w:trPr/>
        <w:tc>
          <w:tcPr>
            <w:tcW w:w="636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36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cours de code de la route adaptés dispensés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360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assidus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(nombre de participants dont le taux de présence aux séances de code de la route est égal ou supérieur à 80 % du nombre d’heures prévues dans leur parcours individuel de formation)</w:t>
            </w:r>
          </w:p>
        </w:tc>
        <w:tc>
          <w:tcPr>
            <w:tcW w:w="3277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88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534"/>
        <w:gridCol w:w="3350"/>
      </w:tblGrid>
      <w:tr>
        <w:trPr/>
        <w:tc>
          <w:tcPr>
            <w:tcW w:w="6534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335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53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 xml:space="preserve">Nombre de personnes accompagnées dans un parcours de formation à la mobilité ayant obtenu le Code de la route </w:t>
            </w: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(en cas d’accompagnement au Code de la route)</w:t>
            </w:r>
          </w:p>
        </w:tc>
        <w:tc>
          <w:tcPr>
            <w:tcW w:w="335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  <w:tr>
        <w:trPr/>
        <w:tc>
          <w:tcPr>
            <w:tcW w:w="653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personnes accompagnées dans un parcours de formation à la mobilité ayant obtenu le permis de conduire (</w:t>
            </w: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en cas d’accompagnement à l’examen pratique du permis de conduire)</w:t>
            </w:r>
          </w:p>
        </w:tc>
        <w:tc>
          <w:tcPr>
            <w:tcW w:w="335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60"/>
        <w:gridCol w:w="3277"/>
      </w:tblGrid>
      <w:tr>
        <w:trPr/>
        <w:tc>
          <w:tcPr>
            <w:tcW w:w="636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</w:tr>
      <w:tr>
        <w:trPr/>
        <w:tc>
          <w:tcPr>
            <w:tcW w:w="636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d’atelier en faveur des mobilités douces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327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360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F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aux ateliers mobilités douces</w:t>
            </w:r>
          </w:p>
          <w:p>
            <w:pPr>
              <w:pStyle w:val="Standard"/>
              <w:widowControl w:val="false"/>
              <w:rPr>
                <w:rFonts w:ascii="Marianne" w:hAnsi="Marianne" w:eastAsia="Calibri" w:cs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(indiquer le nombre de participants ayant fréquenté les ateliers en tenant compte qu’un participant doit être comptabilisé une seule fois et ce, même s’il a participé à plusieurs ateliers)</w:t>
            </w:r>
          </w:p>
        </w:tc>
        <w:tc>
          <w:tcPr>
            <w:tcW w:w="3277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spacing w:before="12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iann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rFonts w:ascii="Marianne" w:hAnsi="Marianne"/>
        <w:color w:val="000091"/>
      </w:rPr>
      <w:t xml:space="preserve">Page </w:t>
    </w:r>
    <w:r>
      <w:rPr>
        <w:rFonts w:ascii="Marianne" w:hAnsi="Marianne"/>
        <w:b/>
        <w:bCs/>
      </w:rPr>
      <w:fldChar w:fldCharType="begin"/>
    </w:r>
    <w:r>
      <w:rPr>
        <w:b/>
        <w:bCs/>
        <w:rFonts w:ascii="Marianne" w:hAnsi="Marianne"/>
      </w:rPr>
      <w:instrText> PAGE </w:instrText>
    </w:r>
    <w:r>
      <w:rPr>
        <w:b/>
        <w:bCs/>
        <w:rFonts w:ascii="Marianne" w:hAnsi="Marianne"/>
      </w:rPr>
      <w:fldChar w:fldCharType="separate"/>
    </w:r>
    <w:r>
      <w:rPr>
        <w:b/>
        <w:bCs/>
        <w:rFonts w:ascii="Marianne" w:hAnsi="Marianne"/>
      </w:rPr>
      <w:t>5</w:t>
    </w:r>
    <w:r>
      <w:rPr>
        <w:b/>
        <w:bCs/>
        <w:rFonts w:ascii="Marianne" w:hAnsi="Marianne"/>
      </w:rPr>
      <w:fldChar w:fldCharType="end"/>
    </w:r>
    <w:r>
      <w:rPr>
        <w:rFonts w:ascii="Marianne" w:hAnsi="Marianne"/>
        <w:color w:val="000091"/>
      </w:rPr>
      <w:t xml:space="preserve"> | </w:t>
    </w:r>
    <w:r>
      <w:rPr>
        <w:rFonts w:ascii="Marianne" w:hAnsi="Marianne"/>
        <w:b/>
        <w:bCs/>
      </w:rPr>
      <w:fldChar w:fldCharType="begin"/>
    </w:r>
    <w:r>
      <w:rPr>
        <w:b/>
        <w:bCs/>
        <w:rFonts w:ascii="Marianne" w:hAnsi="Marianne"/>
      </w:rPr>
      <w:instrText> NUMPAGES </w:instrText>
    </w:r>
    <w:r>
      <w:rPr>
        <w:b/>
        <w:bCs/>
        <w:rFonts w:ascii="Marianne" w:hAnsi="Marianne"/>
      </w:rPr>
      <w:fldChar w:fldCharType="separate"/>
    </w:r>
    <w:r>
      <w:rPr>
        <w:b/>
        <w:bCs/>
        <w:rFonts w:ascii="Marianne" w:hAnsi="Marianne"/>
      </w:rPr>
      <w:t>5</w:t>
    </w:r>
    <w:r>
      <w:rPr>
        <w:b/>
        <w:bCs/>
        <w:rFonts w:ascii="Marianne" w:hAnsi="Mariann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  <w:tblLook w:firstRow="0" w:noVBand="0" w:lastRow="0" w:firstColumn="0" w:lastColumn="0" w:noHBand="0" w:val="0000"/>
    </w:tblPr>
    <w:tblGrid>
      <w:gridCol w:w="3212"/>
      <w:gridCol w:w="3212"/>
      <w:gridCol w:w="3213"/>
    </w:tblGrid>
    <w:tr>
      <w:trPr/>
      <w:tc>
        <w:tcPr>
          <w:tcW w:w="3212" w:type="dxa"/>
          <w:tcBorders/>
        </w:tcPr>
        <w:p>
          <w:pPr>
            <w:pStyle w:val="Contenudetableau"/>
            <w:widowControl w:val="false"/>
            <w:rPr/>
          </w:pPr>
          <w:r>
            <w:rPr/>
            <w:drawing>
              <wp:inline distT="0" distB="0" distL="0" distR="0">
                <wp:extent cx="1457325" cy="711200"/>
                <wp:effectExtent l="0" t="0" r="0" b="0"/>
                <wp:docPr id="1" name="Image1" descr="C:\Users\mayardau\AppData\Local\Microsoft\Windows\INetCache\Content.Word\logo-territoires d_Integr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C:\Users\mayardau\AppData\Local\Microsoft\Windows\INetCache\Content.Word\logo-territoires d_Integr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/>
        </w:tcPr>
        <w:p>
          <w:pPr>
            <w:pStyle w:val="Contenudetableau"/>
            <w:widowControl w:val="false"/>
            <w:jc w:val="right"/>
            <w:rPr>
              <w:rFonts w:ascii="Marianne" w:hAnsi="Marianne"/>
              <w:sz w:val="22"/>
              <w:szCs w:val="22"/>
            </w:rPr>
          </w:pPr>
          <w:r>
            <w:rPr>
              <w:rFonts w:ascii="Marianne" w:hAnsi="Marianne"/>
              <w:sz w:val="22"/>
              <w:szCs w:val="22"/>
            </w:rPr>
          </w:r>
        </w:p>
      </w:tc>
      <w:tc>
        <w:tcPr>
          <w:tcW w:w="3213" w:type="dxa"/>
          <w:tcBorders/>
        </w:tcPr>
        <w:p>
          <w:pPr>
            <w:pStyle w:val="Contenudetableau"/>
            <w:widowControl w:val="false"/>
            <w:jc w:val="right"/>
            <w:rPr>
              <w:rFonts w:ascii="Marianne" w:hAnsi="Marianne"/>
              <w:sz w:val="22"/>
              <w:szCs w:val="22"/>
            </w:rPr>
          </w:pPr>
          <w:r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727710</wp:posOffset>
                </wp:positionH>
                <wp:positionV relativeFrom="paragraph">
                  <wp:posOffset>-76200</wp:posOffset>
                </wp:positionV>
                <wp:extent cx="1220470" cy="894080"/>
                <wp:effectExtent l="0" t="0" r="0" b="0"/>
                <wp:wrapTight wrapText="bothSides">
                  <wp:wrapPolygon edited="0">
                    <wp:start x="-59" y="0"/>
                    <wp:lineTo x="-59" y="21178"/>
                    <wp:lineTo x="21294" y="21178"/>
                    <wp:lineTo x="21294" y="0"/>
                    <wp:lineTo x="-59" y="0"/>
                  </wp:wrapPolygon>
                </wp:wrapTight>
                <wp:docPr id="2" name="Imag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894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arianne" w:hAnsi="Marianne"/>
              <w:sz w:val="22"/>
              <w:szCs w:val="22"/>
            </w:rPr>
            <w:t xml:space="preserve"> </w:t>
          </w:r>
        </w:p>
      </w:tc>
    </w:tr>
  </w:tbl>
  <w:p>
    <w:pPr>
      <w:pStyle w:val="Entte"/>
      <w:pBdr>
        <w:bottom w:val="single" w:sz="4" w:space="1" w:color="000000"/>
      </w:pBdr>
      <w:tabs>
        <w:tab w:val="clear" w:pos="4819"/>
        <w:tab w:val="clear" w:pos="9638"/>
        <w:tab w:val="left" w:pos="3016" w:leader="none"/>
      </w:tabs>
      <w:rPr>
        <w:rFonts w:ascii="Marianne" w:hAnsi="Marianne"/>
        <w:b/>
        <w:b/>
        <w:color w:val="000091"/>
        <w:sz w:val="22"/>
      </w:rPr>
    </w:pPr>
    <w:r>
      <w:rPr>
        <w:rFonts w:ascii="Marianne" w:hAnsi="Marianne"/>
        <w:b/>
        <w:color w:val="000091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2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Numrotationdelignes" w:customStyle="1">
    <w:name w:val="Numérotation de lignes"/>
    <w:rPr/>
  </w:style>
  <w:style w:type="character" w:styleId="CommentaireCar" w:customStyle="1">
    <w:name w:val="Commentaire Car"/>
    <w:basedOn w:val="DefaultParagraphFont"/>
    <w:link w:val="Commentaire"/>
    <w:qFormat/>
    <w:rsid w:val="006c18fd"/>
    <w:rPr>
      <w:rFonts w:cs="Mangal"/>
      <w:sz w:val="20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6c18fd"/>
    <w:rPr>
      <w:rFonts w:cs="Mangal"/>
      <w:b/>
      <w:bCs/>
      <w:sz w:val="20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Titreprincipal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Entteetpieddepage" w:customStyle="1">
    <w:name w:val="En-tête et pied de page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/>
    <w:rPr/>
  </w:style>
  <w:style w:type="paragraph" w:styleId="Entte">
    <w:name w:val="Header"/>
    <w:basedOn w:val="Entteetpieddepage"/>
    <w:pPr/>
    <w:rPr/>
  </w:style>
  <w:style w:type="paragraph" w:styleId="Contenudetableau" w:customStyle="1">
    <w:name w:val="Contenu de tableau"/>
    <w:basedOn w:val="Standard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CommentaireCar"/>
    <w:qFormat/>
    <w:pPr/>
    <w:rPr>
      <w:rFonts w:cs="Mangal"/>
      <w:sz w:val="20"/>
      <w:szCs w:val="18"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cs="Mangal" w:ascii="Liberation Serif" w:hAnsi="Liberation Serif" w:eastAsia="NSimSun"/>
      <w:color w:val="auto"/>
      <w:kern w:val="2"/>
      <w:sz w:val="24"/>
      <w:szCs w:val="21"/>
      <w:lang w:val="fr-FR" w:eastAsia="zh-CN" w:bidi="hi-IN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6c18f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23" ma:contentTypeDescription="Crée un document." ma:contentTypeScope="" ma:versionID="3e4c8b447228764dcae319be92d60d09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f1870c97c479378c04b99de7a6173288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m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e138ef2-acef-41c1-acec-bc71b26c37a1}" ma:internalName="TaxCatchAll" ma:showField="CatchAllData" ma:web="b325354e-e0c1-43c5-a579-20e48467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m" ma:index="25" nillable="true" ma:displayName="mm" ma:format="Dropdown" ma:internalName="mm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5889329-5643-4637-8aa5-53ec1bd4d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91186-e4fb-489f-a169-79df8e0f40d5">
      <Terms xmlns="http://schemas.microsoft.com/office/infopath/2007/PartnerControls"/>
    </lcf76f155ced4ddcb4097134ff3c332f>
    <TaxCatchAll xmlns="b325354e-e0c1-43c5-a579-20e484670dcd" xsi:nil="true"/>
    <mm xmlns="d2591186-e4fb-489f-a169-79df8e0f40d5" xsi:nil="true"/>
    <Date xmlns="d2591186-e4fb-489f-a169-79df8e0f40d5" xsi:nil="true"/>
  </documentManagement>
</p:properties>
</file>

<file path=customXml/itemProps1.xml><?xml version="1.0" encoding="utf-8"?>
<ds:datastoreItem xmlns:ds="http://schemas.openxmlformats.org/officeDocument/2006/customXml" ds:itemID="{66C01851-507B-461A-A369-D16A955A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354e-e0c1-43c5-a579-20e484670dcd"/>
    <ds:schemaRef ds:uri="d2591186-e4fb-489f-a169-79df8e0f4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466F-78D4-4F25-9EE6-236DA127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5FB0F-5D45-4C82-A858-73C003A7A8D6}">
  <ds:schemaRefs>
    <ds:schemaRef ds:uri="http://schemas.microsoft.com/office/2006/metadata/properties"/>
    <ds:schemaRef ds:uri="http://schemas.microsoft.com/office/infopath/2007/PartnerControls"/>
    <ds:schemaRef ds:uri="d2591186-e4fb-489f-a169-79df8e0f40d5"/>
    <ds:schemaRef ds:uri="b325354e-e0c1-43c5-a579-20e484670d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LibreOffice/7.2.7.2.M8$Windows_X86_64 LibreOffice_project/cf1bdbb7fdbe4cc2bde03370057fbbb79d316db5</Application>
  <AppVersion>15.0000</AppVersion>
  <Pages>5</Pages>
  <Words>908</Words>
  <Characters>5083</Characters>
  <CharactersWithSpaces>5922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2024-10-01T08:35:00Z</dcterms:created>
  <dc:creator>Sophia Badoud</dc:creator>
  <dc:description/>
  <dc:language>fr-FR</dc:language>
  <cp:lastModifiedBy>Sophia Badoud</cp:lastModifiedBy>
  <dcterms:modified xsi:type="dcterms:W3CDTF">2024-10-04T16:26:37Z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0x0101005E440FA474E7BC46B6BDC2B9C7665565</vt:lpwstr>
  </property>
  <property fmtid="{D5CDD505-2E9C-101B-9397-08002B2CF9AE}" pid="3" name="MediaServiceImageTags">
    <vt:lpwstr/>
  </property>
</Properties>
</file>